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3E9B2BF4" w:rsidR="003A7923" w:rsidRPr="003A7923" w:rsidRDefault="00DC3B29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B29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банков и страховых организаций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57EF02C9" w:rsidR="00EC7D72" w:rsidRPr="00EC7D72" w:rsidRDefault="00EC7D72" w:rsidP="00DC3B29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Налогообложение банков и страховых организаций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теоретически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налогообложения организаций финансово-кредитного сектора экономики; практически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исчисления налоговой базы и сумм налоговых платежей по налогу на прибыль организаций, налогу на добавленную стоимость и другим налогам и сборам банками, страховыми компаниями, инвестиционными фондами и другими финансово-кредитными институтами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0E0F8582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Налогообложение банков и страховых организаций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527400E6" w:rsidR="0050702F" w:rsidRPr="00EC7D72" w:rsidRDefault="00DC3B29" w:rsidP="00DC3B2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3B29">
        <w:rPr>
          <w:rFonts w:ascii="Times New Roman" w:hAnsi="Times New Roman" w:cs="Times New Roman"/>
          <w:bCs/>
          <w:sz w:val="28"/>
          <w:szCs w:val="28"/>
        </w:rPr>
        <w:t>Налоговое регулирование деятельности организаций финансового сектора экономики. Особенности налогообложения банков. Налоги, уплачиваемые страховыми организациями. Специфика налогообложения инвестиционных (паевых) и негосударственных пенсионных фондов. Налогообложение доходов и операций с ценными бумагами. Особенности налогообложения операций на рынке срочных сделок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7CD0C-DAED-4586-98B5-2C4BD8EA9552}"/>
</file>

<file path=customXml/itemProps2.xml><?xml version="1.0" encoding="utf-8"?>
<ds:datastoreItem xmlns:ds="http://schemas.openxmlformats.org/officeDocument/2006/customXml" ds:itemID="{7D98FA99-4A4A-4065-8A07-EBFA42534658}"/>
</file>

<file path=customXml/itemProps3.xml><?xml version="1.0" encoding="utf-8"?>
<ds:datastoreItem xmlns:ds="http://schemas.openxmlformats.org/officeDocument/2006/customXml" ds:itemID="{8B7FABF7-EEB9-4361-8CC0-3E96E1286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2018-03-26T13:34:00Z</dcterms:created>
  <dcterms:modified xsi:type="dcterms:W3CDTF">2021-06-02T21:09:00Z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